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spacing w:before="0" w:after="0" w:line="240" w:lineRule="auto"/>
        <w:jc w:val="center"/>
        <w:rPr>
          <w:rFonts w:hint="eastAsia"/>
          <w:sz w:val="32"/>
          <w:szCs w:val="32"/>
        </w:rPr>
      </w:pPr>
      <w:r>
        <w:rPr>
          <w:rFonts w:hint="eastAsia"/>
          <w:sz w:val="32"/>
          <w:szCs w:val="32"/>
        </w:rPr>
        <w:t>电气工程</w:t>
      </w:r>
    </w:p>
    <w:p>
      <w:pPr>
        <w:numPr>
          <w:ilvl w:val="0"/>
          <w:numId w:val="1"/>
        </w:numPr>
        <w:tabs>
          <w:tab w:val="left" w:pos="720"/>
        </w:tabs>
        <w:rPr>
          <w:rFonts w:hint="eastAsia"/>
          <w:b/>
          <w:sz w:val="28"/>
          <w:szCs w:val="28"/>
        </w:rPr>
      </w:pPr>
      <w:r>
        <w:rPr>
          <w:rFonts w:hint="eastAsia"/>
          <w:b/>
          <w:sz w:val="28"/>
          <w:szCs w:val="28"/>
        </w:rPr>
        <w:t>领域简介</w:t>
      </w:r>
    </w:p>
    <w:p>
      <w:pPr>
        <w:spacing w:line="360" w:lineRule="auto"/>
        <w:ind w:left="370" w:firstLine="470" w:firstLineChars="196"/>
        <w:rPr>
          <w:rFonts w:hint="eastAsia"/>
          <w:sz w:val="24"/>
        </w:rPr>
      </w:pPr>
      <w:r>
        <w:rPr>
          <w:rFonts w:hint="eastAsia"/>
          <w:sz w:val="24"/>
        </w:rPr>
        <w:t>电能作为现代社会最主要的二次能源，在生产和生活中获得了极其广泛的应用，在人类社会的现代化进程中扮演了极其重要的角色。电能的生产、传输、使用及相应的电气设备和控制系统也在不断地发展更新，向智能化、成套化、高效能方向发展，逐步与电子计算机、微电子技术、电力电子技术相结合，形成新型的电工技术与设备。电气工程在国民经济、科学技术的发展中正起着越来越重要的作用。</w:t>
      </w:r>
    </w:p>
    <w:p>
      <w:pPr>
        <w:spacing w:line="360" w:lineRule="auto"/>
        <w:ind w:left="370" w:firstLine="470" w:firstLineChars="196"/>
        <w:rPr>
          <w:rFonts w:hint="eastAsia"/>
          <w:sz w:val="24"/>
        </w:rPr>
      </w:pPr>
      <w:r>
        <w:rPr>
          <w:rFonts w:hint="eastAsia"/>
          <w:sz w:val="24"/>
        </w:rPr>
        <w:t>电气工程领域主要包括电能生产、传输及其使用全过程中各类电气设备和系统的设计、制造、运行、测量和控制等相关方面的工程技术。本工程领域与电子与通信工程、计算机技术、控制工程、材料工程、机械工程、仪器仪表工程、动力工程等工程领域均有紧密的联系。</w:t>
      </w:r>
    </w:p>
    <w:p>
      <w:pPr>
        <w:spacing w:line="360" w:lineRule="auto"/>
        <w:ind w:left="370" w:firstLine="470" w:firstLineChars="196"/>
        <w:rPr>
          <w:rFonts w:hint="eastAsia"/>
          <w:sz w:val="24"/>
        </w:rPr>
      </w:pPr>
    </w:p>
    <w:p>
      <w:pPr>
        <w:numPr>
          <w:ilvl w:val="0"/>
          <w:numId w:val="1"/>
        </w:numPr>
        <w:tabs>
          <w:tab w:val="left" w:pos="720"/>
        </w:tabs>
        <w:rPr>
          <w:rFonts w:hint="eastAsia"/>
          <w:b/>
          <w:sz w:val="28"/>
          <w:szCs w:val="28"/>
        </w:rPr>
      </w:pPr>
      <w:r>
        <w:rPr>
          <w:rFonts w:hint="eastAsia"/>
          <w:b/>
          <w:sz w:val="28"/>
          <w:szCs w:val="28"/>
        </w:rPr>
        <w:t>培养目标</w:t>
      </w:r>
    </w:p>
    <w:p>
      <w:pPr>
        <w:spacing w:line="360" w:lineRule="auto"/>
        <w:ind w:left="370" w:firstLine="470" w:firstLineChars="196"/>
        <w:rPr>
          <w:rFonts w:hint="eastAsia"/>
          <w:sz w:val="24"/>
        </w:rPr>
      </w:pPr>
      <w:r>
        <w:rPr>
          <w:rFonts w:hint="eastAsia" w:ascii="宋体" w:hAnsi="宋体"/>
          <w:sz w:val="24"/>
        </w:rPr>
        <w:t>电气工程领域工程硕士应当掌握电气工程领域坚实宽广的基础理论、系统深入的专门技能以及基本的管理知识，具备综述分析所涉工程领域国内外现状，从实践中发现和凝练问题，并综合利用所掌握的先进技术方法和手段解决问题的能力。具有独立担负工程技术和工程管理的能力，熟练掌握一门外语，熟练运用计算机等工具，是应用型、复合型高层次工程技术和工程管理专门人才。</w:t>
      </w:r>
      <w:r>
        <w:rPr>
          <w:rFonts w:hint="eastAsia"/>
          <w:sz w:val="24"/>
        </w:rPr>
        <w:t>具有独立解决在电能生产、</w:t>
      </w:r>
      <w:r>
        <w:rPr>
          <w:rFonts w:hint="eastAsia"/>
          <w:sz w:val="24"/>
          <w:lang w:eastAsia="zh-CN"/>
        </w:rPr>
        <w:t>变换</w:t>
      </w:r>
      <w:r>
        <w:rPr>
          <w:rFonts w:hint="eastAsia"/>
          <w:sz w:val="24"/>
        </w:rPr>
        <w:t>、传输、分配、驱动、控制、检测、保护及其使用过程中的工程实际问题，从事各类电气新设备的开发、设计、研制以及设备运行与维护更新的能力。能胜任电气工程领域的如下工作之一：新技术的研究开发，新成果向产品化、产业化转换过程中科学技术问题的研究与解决，新技术、新产品在推广应用中创新性识别、效益预测及组织实施的科学决策，推动工程设计的进步、企业的技术改造、新技术的应用等过程中科学技术问题的解决。</w:t>
      </w:r>
    </w:p>
    <w:p>
      <w:pPr>
        <w:numPr>
          <w:ilvl w:val="0"/>
          <w:numId w:val="1"/>
        </w:numPr>
        <w:tabs>
          <w:tab w:val="left" w:pos="720"/>
        </w:tabs>
        <w:rPr>
          <w:rFonts w:hint="eastAsia"/>
          <w:b/>
          <w:sz w:val="28"/>
          <w:szCs w:val="28"/>
        </w:rPr>
      </w:pPr>
      <w:r>
        <w:rPr>
          <w:rFonts w:hint="eastAsia"/>
          <w:b/>
          <w:sz w:val="28"/>
          <w:szCs w:val="28"/>
        </w:rPr>
        <w:t>领域范围（研究方向）</w:t>
      </w:r>
    </w:p>
    <w:p>
      <w:pPr>
        <w:spacing w:line="360" w:lineRule="auto"/>
        <w:ind w:left="370" w:firstLine="470" w:firstLineChars="196"/>
        <w:rPr>
          <w:rFonts w:hint="eastAsia"/>
          <w:sz w:val="24"/>
        </w:rPr>
      </w:pPr>
      <w:r>
        <w:rPr>
          <w:rFonts w:hint="eastAsia"/>
          <w:sz w:val="24"/>
        </w:rPr>
        <w:t>电气工程领域主要包括：电力电子与电力</w:t>
      </w:r>
      <w:r>
        <w:rPr>
          <w:rFonts w:hint="eastAsia"/>
          <w:sz w:val="24"/>
          <w:lang w:eastAsia="zh-CN"/>
        </w:rPr>
        <w:t>传动</w:t>
      </w:r>
      <w:r>
        <w:rPr>
          <w:rFonts w:hint="eastAsia"/>
          <w:sz w:val="24"/>
        </w:rPr>
        <w:t>、电力系统及其自动化、高电压与绝缘技术、电机与电器、电工理论与新技术、电气工程中信息技术</w:t>
      </w:r>
      <w:r>
        <w:rPr>
          <w:rFonts w:hint="eastAsia"/>
          <w:sz w:val="24"/>
          <w:lang w:eastAsia="zh-CN"/>
        </w:rPr>
        <w:t>等</w:t>
      </w:r>
      <w:r>
        <w:rPr>
          <w:rFonts w:hint="eastAsia"/>
          <w:sz w:val="24"/>
        </w:rPr>
        <w:t>。</w:t>
      </w:r>
    </w:p>
    <w:p>
      <w:pPr>
        <w:spacing w:line="360" w:lineRule="auto"/>
        <w:ind w:left="370" w:firstLine="470" w:firstLineChars="196"/>
        <w:rPr>
          <w:rFonts w:hint="eastAsia"/>
          <w:sz w:val="24"/>
        </w:rPr>
      </w:pPr>
      <w:r>
        <w:rPr>
          <w:rFonts w:hint="eastAsia"/>
          <w:sz w:val="24"/>
        </w:rPr>
        <w:t>根据工程技术人员的工作性质，领域范围可分为：电气设备的设计、开发、制造，电气设备的运行、测试、管理，电力系统的运行、控制与管理。</w:t>
      </w:r>
    </w:p>
    <w:p>
      <w:pPr>
        <w:numPr>
          <w:ilvl w:val="0"/>
          <w:numId w:val="1"/>
        </w:numPr>
        <w:tabs>
          <w:tab w:val="left" w:pos="720"/>
        </w:tabs>
        <w:rPr>
          <w:rFonts w:hint="eastAsia"/>
          <w:b/>
          <w:sz w:val="28"/>
          <w:szCs w:val="28"/>
        </w:rPr>
      </w:pPr>
      <w:r>
        <w:rPr>
          <w:rFonts w:hint="eastAsia"/>
          <w:b/>
          <w:sz w:val="28"/>
          <w:szCs w:val="28"/>
        </w:rPr>
        <w:t>培养方式及学习年限</w:t>
      </w:r>
    </w:p>
    <w:p>
      <w:pPr>
        <w:spacing w:line="360" w:lineRule="auto"/>
        <w:ind w:left="370" w:firstLine="470" w:firstLineChars="196"/>
        <w:rPr>
          <w:rFonts w:hint="eastAsia"/>
          <w:sz w:val="24"/>
        </w:rPr>
      </w:pPr>
      <w:r>
        <w:rPr>
          <w:rFonts w:hint="eastAsia"/>
          <w:sz w:val="24"/>
        </w:rPr>
        <w:t>培养方式为在职攻读，与企业共同培养，学习年限为3~5年。</w:t>
      </w:r>
    </w:p>
    <w:p>
      <w:pPr>
        <w:numPr>
          <w:ilvl w:val="0"/>
          <w:numId w:val="1"/>
        </w:numPr>
        <w:tabs>
          <w:tab w:val="left" w:pos="720"/>
        </w:tabs>
        <w:rPr>
          <w:rFonts w:hint="eastAsia"/>
          <w:b/>
          <w:sz w:val="28"/>
          <w:szCs w:val="28"/>
        </w:rPr>
      </w:pPr>
      <w:r>
        <w:rPr>
          <w:rFonts w:hint="eastAsia"/>
          <w:b/>
          <w:sz w:val="28"/>
          <w:szCs w:val="28"/>
        </w:rPr>
        <w:t>课程设置（见附表）</w:t>
      </w:r>
    </w:p>
    <w:p>
      <w:pPr>
        <w:spacing w:line="360" w:lineRule="auto"/>
        <w:ind w:left="370" w:firstLine="470" w:firstLineChars="196"/>
        <w:rPr>
          <w:rFonts w:hint="eastAsia"/>
          <w:sz w:val="24"/>
        </w:rPr>
      </w:pPr>
      <w:r>
        <w:rPr>
          <w:rFonts w:hint="eastAsia"/>
          <w:sz w:val="24"/>
        </w:rPr>
        <w:t>课程设置特点：以工程硕士“应用型、复合型高层次工程技术和工程管理人才”为培养目标，形成以公共必修类、专业基础类、专业类、实用工具类等课程在内的课程体系。充分考虑领域基础、技术应用、前沿学科</w:t>
      </w:r>
      <w:r>
        <w:rPr>
          <w:sz w:val="24"/>
        </w:rPr>
        <w:t xml:space="preserve"> </w:t>
      </w:r>
      <w:r>
        <w:rPr>
          <w:rFonts w:hint="eastAsia"/>
          <w:sz w:val="24"/>
        </w:rPr>
        <w:t>、交叉学科、工具类和人文类课程在课程体系中的合理配置，同时也充分考虑职业任职资格相联系的课程设置。</w:t>
      </w:r>
    </w:p>
    <w:p>
      <w:pPr>
        <w:spacing w:line="360" w:lineRule="auto"/>
        <w:ind w:left="370" w:firstLine="470" w:firstLineChars="196"/>
        <w:rPr>
          <w:rFonts w:hint="eastAsia"/>
          <w:sz w:val="24"/>
        </w:rPr>
      </w:pPr>
      <w:r>
        <w:rPr>
          <w:rFonts w:hint="eastAsia"/>
          <w:sz w:val="24"/>
        </w:rPr>
        <w:t>工程硕士研究生总学分不少于32学分，其中学位课19学分，非学位课11学分，必修环节2学分。考试课程不少于26学分。</w:t>
      </w:r>
    </w:p>
    <w:p>
      <w:pPr>
        <w:numPr>
          <w:ilvl w:val="0"/>
          <w:numId w:val="1"/>
        </w:numPr>
        <w:tabs>
          <w:tab w:val="left" w:pos="720"/>
        </w:tabs>
        <w:rPr>
          <w:rFonts w:hint="eastAsia"/>
          <w:b/>
          <w:sz w:val="28"/>
          <w:szCs w:val="28"/>
        </w:rPr>
      </w:pPr>
      <w:r>
        <w:rPr>
          <w:rFonts w:hint="eastAsia"/>
          <w:b/>
          <w:sz w:val="28"/>
          <w:szCs w:val="28"/>
        </w:rPr>
        <w:t>必修环节</w:t>
      </w:r>
    </w:p>
    <w:p>
      <w:pPr>
        <w:spacing w:line="360" w:lineRule="auto"/>
        <w:ind w:left="370" w:firstLine="470" w:firstLineChars="196"/>
        <w:rPr>
          <w:rFonts w:hint="eastAsia"/>
          <w:sz w:val="24"/>
        </w:rPr>
      </w:pPr>
      <w:r>
        <w:rPr>
          <w:rFonts w:hint="eastAsia"/>
          <w:sz w:val="24"/>
        </w:rPr>
        <w:t>工程硕士研究生必修环节要求2学分：文献综述与选题报告1学分，论文中期检查0.5学分，工程项目实践0.5学分。</w:t>
      </w:r>
    </w:p>
    <w:p>
      <w:pPr>
        <w:numPr>
          <w:ilvl w:val="0"/>
          <w:numId w:val="1"/>
        </w:numPr>
        <w:tabs>
          <w:tab w:val="left" w:pos="720"/>
        </w:tabs>
        <w:rPr>
          <w:rFonts w:hint="eastAsia"/>
          <w:b/>
          <w:sz w:val="28"/>
          <w:szCs w:val="28"/>
        </w:rPr>
      </w:pPr>
      <w:r>
        <w:rPr>
          <w:rFonts w:hint="eastAsia"/>
          <w:b/>
          <w:sz w:val="28"/>
          <w:szCs w:val="28"/>
        </w:rPr>
        <w:t>论文工作</w:t>
      </w:r>
    </w:p>
    <w:p>
      <w:pPr>
        <w:spacing w:line="360" w:lineRule="auto"/>
        <w:ind w:left="370" w:firstLine="470" w:firstLineChars="196"/>
        <w:rPr>
          <w:rFonts w:hint="eastAsia"/>
          <w:sz w:val="24"/>
        </w:rPr>
      </w:pPr>
      <w:r>
        <w:rPr>
          <w:rFonts w:hint="eastAsia"/>
          <w:sz w:val="24"/>
        </w:rPr>
        <w:t>学位论文应以工程为本，以技术创新为评价标准。学位论文的选题应来源于培养企业的生产实际问题，或具有明确的生产背景和应用价值的研究课题。论文可以是工程设计项目或技术改造项目，可以是技术攻关研究专题，或新设备、新产品的研制、引进与开发，产品质量的检测与分析，可以是设备管理系统或维护技术研究。论文的研究工作应该对企业的生产和发展有理论意义或实际应用价值。研究成果应具有先进性，应能反映工程硕士研究生独立的研究开发能力和综合运用科学理论、方法和技术手段解决工程实际问题的能力。</w:t>
      </w:r>
    </w:p>
    <w:p>
      <w:pPr>
        <w:spacing w:line="360" w:lineRule="auto"/>
        <w:ind w:left="370" w:firstLine="470" w:firstLineChars="196"/>
        <w:rPr>
          <w:rFonts w:hint="eastAsia"/>
          <w:sz w:val="24"/>
        </w:rPr>
      </w:pPr>
      <w:r>
        <w:rPr>
          <w:rFonts w:hint="eastAsia"/>
          <w:sz w:val="24"/>
        </w:rPr>
        <w:t>工程硕士专业学位论文工作不少于一年，具体要求参见《同济大学工程硕士专业学位研究生论文工作的规定》。</w:t>
      </w:r>
    </w:p>
    <w:p>
      <w:pPr>
        <w:numPr>
          <w:ilvl w:val="0"/>
          <w:numId w:val="1"/>
        </w:numPr>
        <w:tabs>
          <w:tab w:val="left" w:pos="720"/>
        </w:tabs>
        <w:rPr>
          <w:rFonts w:hint="eastAsia"/>
          <w:b/>
          <w:sz w:val="28"/>
          <w:szCs w:val="28"/>
        </w:rPr>
      </w:pPr>
      <w:r>
        <w:rPr>
          <w:rFonts w:hint="eastAsia"/>
          <w:b/>
          <w:sz w:val="28"/>
          <w:szCs w:val="28"/>
          <w:lang w:eastAsia="zh-CN"/>
        </w:rPr>
        <w:t>教学点：</w:t>
      </w:r>
    </w:p>
    <w:p>
      <w:pPr>
        <w:pStyle w:val="3"/>
        <w:keepNext w:val="0"/>
        <w:keepLines w:val="0"/>
        <w:widowControl/>
        <w:suppressLineNumbers w:val="0"/>
        <w:spacing w:line="18" w:lineRule="atLeast"/>
        <w:rPr>
          <w:color w:val="000000"/>
          <w:bdr w:val="none" w:color="auto" w:sz="0" w:space="0"/>
        </w:rPr>
      </w:pPr>
      <w:r>
        <w:rPr>
          <w:color w:val="000000"/>
          <w:bdr w:val="none" w:color="auto" w:sz="0" w:space="0"/>
        </w:rPr>
        <w:t xml:space="preserve">单位：同济大学电子与信息工程学院专业学位教学管理中心       </w:t>
      </w:r>
    </w:p>
    <w:p>
      <w:pPr>
        <w:pStyle w:val="3"/>
        <w:keepNext w:val="0"/>
        <w:keepLines w:val="0"/>
        <w:widowControl/>
        <w:suppressLineNumbers w:val="0"/>
        <w:spacing w:line="18" w:lineRule="atLeast"/>
        <w:rPr>
          <w:rFonts w:hint="eastAsia"/>
          <w:color w:val="000000"/>
          <w:bdr w:val="none" w:color="auto" w:sz="0" w:space="0"/>
          <w:lang w:eastAsia="zh-CN"/>
        </w:rPr>
      </w:pPr>
      <w:r>
        <w:rPr>
          <w:color w:val="000000"/>
          <w:bdr w:val="none" w:color="auto" w:sz="0" w:space="0"/>
        </w:rPr>
        <w:t>地址：上海市杨浦区赤峰路67号同济大学南校区档案馆楼4</w:t>
      </w:r>
      <w:r>
        <w:rPr>
          <w:rFonts w:hint="eastAsia"/>
          <w:color w:val="000000"/>
          <w:bdr w:val="none" w:color="auto" w:sz="0" w:space="0"/>
          <w:lang w:eastAsia="zh-CN"/>
        </w:rPr>
        <w:t>楼</w:t>
      </w:r>
    </w:p>
    <w:p>
      <w:pPr>
        <w:pStyle w:val="4"/>
        <w:keepNext w:val="0"/>
        <w:keepLines w:val="0"/>
        <w:widowControl/>
        <w:suppressLineNumbers w:val="0"/>
        <w:spacing w:before="0" w:beforeAutospacing="0" w:after="166" w:afterAutospacing="0" w:line="26" w:lineRule="atLeast"/>
        <w:ind w:left="210" w:right="210"/>
        <w:rPr>
          <w:color w:val="565656"/>
          <w:sz w:val="22"/>
          <w:szCs w:val="22"/>
        </w:rPr>
      </w:pPr>
      <w:r>
        <w:rPr>
          <w:rFonts w:hint="eastAsia"/>
          <w:color w:val="333333"/>
          <w:sz w:val="22"/>
          <w:szCs w:val="22"/>
          <w:u w:val="none"/>
          <w:lang w:eastAsia="zh-CN"/>
        </w:rPr>
        <w:t>（</w:t>
      </w:r>
      <w:r>
        <w:rPr>
          <w:color w:val="333333"/>
          <w:sz w:val="22"/>
          <w:szCs w:val="22"/>
          <w:u w:val="none"/>
        </w:rPr>
        <w:fldChar w:fldCharType="begin"/>
      </w:r>
      <w:r>
        <w:rPr>
          <w:color w:val="333333"/>
          <w:sz w:val="22"/>
          <w:szCs w:val="22"/>
          <w:u w:val="none"/>
        </w:rPr>
        <w:instrText xml:space="preserve"> HYPERLINK "http://map.baidu.com/?shareurl=1&amp;poiShareUid=571cc9b94f771d9308ccdd21&amp;cityCode=289&amp;tn=B_NORMAL_MAP&amp;hb=B_SATELLITE_STREET" \t "http://see.tongji.edu.cn/3c/99/c2394a15513/_self" </w:instrText>
      </w:r>
      <w:r>
        <w:rPr>
          <w:color w:val="333333"/>
          <w:sz w:val="22"/>
          <w:szCs w:val="22"/>
          <w:u w:val="none"/>
        </w:rPr>
        <w:fldChar w:fldCharType="separate"/>
      </w:r>
      <w:r>
        <w:rPr>
          <w:rStyle w:val="7"/>
          <w:color w:val="333333"/>
          <w:sz w:val="22"/>
          <w:szCs w:val="22"/>
          <w:u w:val="none"/>
        </w:rPr>
        <w:t>http://map.baidu.com/?shareurl=1&amp;poiShareUid=571cc9b94f771d9308ccdd21&amp;cityCode=289&amp;tn=B_NORMAL_MAP&amp;hb=B_SATELLITE_STREET</w:t>
      </w:r>
      <w:r>
        <w:rPr>
          <w:color w:val="333333"/>
          <w:sz w:val="22"/>
          <w:szCs w:val="22"/>
          <w:u w:val="none"/>
        </w:rPr>
        <w:fldChar w:fldCharType="end"/>
      </w:r>
      <w:r>
        <w:rPr>
          <w:rFonts w:hint="eastAsia"/>
          <w:color w:val="333333"/>
          <w:sz w:val="22"/>
          <w:szCs w:val="22"/>
          <w:u w:val="none"/>
          <w:lang w:eastAsia="zh-CN"/>
        </w:rPr>
        <w:t>）</w:t>
      </w:r>
    </w:p>
    <w:p>
      <w:pPr>
        <w:pStyle w:val="3"/>
        <w:keepNext w:val="0"/>
        <w:keepLines w:val="0"/>
        <w:widowControl/>
        <w:suppressLineNumbers w:val="0"/>
        <w:spacing w:line="18" w:lineRule="atLeast"/>
        <w:rPr>
          <w:color w:val="000000"/>
          <w:bdr w:val="none" w:color="auto" w:sz="0" w:space="0"/>
        </w:rPr>
      </w:pPr>
      <w:r>
        <w:rPr>
          <w:color w:val="000000"/>
          <w:bdr w:val="none" w:color="auto" w:sz="0" w:space="0"/>
        </w:rPr>
        <w:t xml:space="preserve">邮编：200092  </w:t>
      </w:r>
      <w:bookmarkStart w:id="0" w:name="_GoBack"/>
      <w:bookmarkEnd w:id="0"/>
    </w:p>
    <w:p>
      <w:pPr>
        <w:pStyle w:val="3"/>
        <w:keepNext w:val="0"/>
        <w:keepLines w:val="0"/>
        <w:widowControl/>
        <w:suppressLineNumbers w:val="0"/>
        <w:spacing w:line="18" w:lineRule="atLeast"/>
        <w:rPr>
          <w:color w:val="000000"/>
          <w:bdr w:val="none" w:color="auto" w:sz="0" w:space="0"/>
        </w:rPr>
      </w:pPr>
      <w:r>
        <w:rPr>
          <w:color w:val="000000"/>
          <w:bdr w:val="none" w:color="auto" w:sz="0" w:space="0"/>
        </w:rPr>
        <w:t xml:space="preserve">电话：021-65983901          </w:t>
      </w:r>
    </w:p>
    <w:p>
      <w:pPr>
        <w:pStyle w:val="3"/>
        <w:keepNext w:val="0"/>
        <w:keepLines w:val="0"/>
        <w:widowControl/>
        <w:suppressLineNumbers w:val="0"/>
        <w:spacing w:line="18" w:lineRule="atLeast"/>
        <w:rPr>
          <w:color w:val="000000"/>
          <w:bdr w:val="none" w:color="auto" w:sz="0" w:space="0"/>
        </w:rPr>
      </w:pPr>
      <w:r>
        <w:rPr>
          <w:color w:val="000000"/>
          <w:bdr w:val="none" w:color="auto" w:sz="0" w:space="0"/>
        </w:rPr>
        <w:t xml:space="preserve">传真：021-65983901  </w:t>
      </w:r>
    </w:p>
    <w:p>
      <w:pPr>
        <w:pStyle w:val="3"/>
        <w:keepNext w:val="0"/>
        <w:keepLines w:val="0"/>
        <w:widowControl/>
        <w:suppressLineNumbers w:val="0"/>
        <w:spacing w:line="18" w:lineRule="atLeast"/>
        <w:rPr>
          <w:color w:val="000000"/>
          <w:bdr w:val="none" w:color="auto" w:sz="0" w:space="0"/>
        </w:rPr>
      </w:pPr>
      <w:r>
        <w:rPr>
          <w:color w:val="000000"/>
          <w:bdr w:val="none" w:color="auto" w:sz="0" w:space="0"/>
        </w:rPr>
        <w:t xml:space="preserve">邮箱：dxgs@tongji.edu.cn  </w:t>
      </w:r>
    </w:p>
    <w:p>
      <w:pPr>
        <w:pStyle w:val="3"/>
        <w:keepNext w:val="0"/>
        <w:keepLines w:val="0"/>
        <w:widowControl/>
        <w:suppressLineNumbers w:val="0"/>
        <w:spacing w:line="18" w:lineRule="atLeast"/>
      </w:pPr>
      <w:r>
        <w:rPr>
          <w:color w:val="000000"/>
          <w:bdr w:val="none" w:color="auto" w:sz="0" w:space="0"/>
        </w:rPr>
        <w:t>网站：</w:t>
      </w:r>
      <w:r>
        <w:rPr>
          <w:color w:val="3894C1"/>
          <w:u w:val="none"/>
          <w:bdr w:val="none" w:color="auto" w:sz="0" w:space="0"/>
        </w:rPr>
        <w:fldChar w:fldCharType="begin"/>
      </w:r>
      <w:r>
        <w:rPr>
          <w:color w:val="3894C1"/>
          <w:u w:val="none"/>
          <w:bdr w:val="none" w:color="auto" w:sz="0" w:space="0"/>
        </w:rPr>
        <w:instrText xml:space="preserve"> HYPERLINK "http://see.tongji.edu.cn——人才培养——工程硕士" \t "https://mail.tongji.edu.cn/coremail/XT3/mbox/_blank" </w:instrText>
      </w:r>
      <w:r>
        <w:rPr>
          <w:color w:val="3894C1"/>
          <w:u w:val="none"/>
          <w:bdr w:val="none" w:color="auto" w:sz="0" w:space="0"/>
        </w:rPr>
        <w:fldChar w:fldCharType="separate"/>
      </w:r>
      <w:r>
        <w:rPr>
          <w:rStyle w:val="7"/>
          <w:color w:val="3894C1"/>
          <w:u w:val="none"/>
          <w:bdr w:val="none" w:color="auto" w:sz="0" w:space="0"/>
        </w:rPr>
        <w:t>http://see.tongji.edu.cn——人才培养——工程硕士</w:t>
      </w:r>
      <w:r>
        <w:rPr>
          <w:color w:val="3894C1"/>
          <w:u w:val="none"/>
          <w:bdr w:val="none" w:color="auto" w:sz="0" w:space="0"/>
        </w:rPr>
        <w:fldChar w:fldCharType="end"/>
      </w:r>
    </w:p>
    <w:p>
      <w:pPr>
        <w:numPr>
          <w:numId w:val="0"/>
        </w:numPr>
        <w:ind w:leftChars="0"/>
        <w:rPr>
          <w:rFonts w:hint="eastAsia"/>
          <w:b/>
          <w:sz w:val="28"/>
          <w:szCs w:val="28"/>
        </w:rPr>
      </w:pPr>
    </w:p>
    <w:p>
      <w:pPr>
        <w:spacing w:line="360" w:lineRule="auto"/>
        <w:ind w:left="370" w:firstLine="470" w:firstLineChars="196"/>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8687398">
    <w:nsid w:val="595427A6"/>
    <w:multiLevelType w:val="multilevel"/>
    <w:tmpl w:val="595427A6"/>
    <w:lvl w:ilvl="0" w:tentative="1">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4986873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952BC"/>
    <w:rsid w:val="422952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line="15" w:lineRule="atLeast"/>
      <w:ind w:left="0" w:right="0"/>
      <w:jc w:val="left"/>
    </w:pPr>
    <w:rPr>
      <w:rFonts w:ascii="Verdana" w:hAnsi="Verdana" w:cs="Verdana"/>
      <w:color w:val="333333"/>
      <w:kern w:val="0"/>
      <w:sz w:val="19"/>
      <w:szCs w:val="19"/>
      <w:lang w:val="en-US" w:eastAsia="zh-CN" w:bidi="ar"/>
    </w:rPr>
  </w:style>
  <w:style w:type="character" w:styleId="6">
    <w:name w:val="FollowedHyperlink"/>
    <w:basedOn w:val="5"/>
    <w:uiPriority w:val="0"/>
    <w:rPr>
      <w:color w:val="3894C1"/>
      <w:u w:val="none"/>
    </w:rPr>
  </w:style>
  <w:style w:type="character" w:styleId="7">
    <w:name w:val="Hyperlink"/>
    <w:basedOn w:val="5"/>
    <w:uiPriority w:val="0"/>
    <w:rPr>
      <w:color w:val="3894C1"/>
      <w:u w:val="none"/>
    </w:rPr>
  </w:style>
  <w:style w:type="character" w:customStyle="1" w:styleId="9">
    <w:name w:val="item-name"/>
    <w:basedOn w:val="5"/>
    <w:uiPriority w:val="0"/>
    <w:rPr>
      <w:bdr w:val="none" w:color="auto" w:sz="0" w:space="0"/>
    </w:rPr>
  </w:style>
  <w:style w:type="character" w:customStyle="1" w:styleId="10">
    <w:name w:val="item-name1"/>
    <w:basedOn w:val="5"/>
    <w:uiPriority w:val="0"/>
    <w:rPr>
      <w:bdr w:val="none" w:color="auto" w:sz="0" w:space="0"/>
    </w:rPr>
  </w:style>
  <w:style w:type="character" w:customStyle="1" w:styleId="11">
    <w:name w:val="possplit"/>
    <w:basedOn w:val="5"/>
    <w:uiPriority w:val="0"/>
  </w:style>
  <w:style w:type="character" w:customStyle="1" w:styleId="12">
    <w:name w:val="news_title"/>
    <w:basedOn w:val="5"/>
    <w:uiPriority w:val="0"/>
  </w:style>
  <w:style w:type="character" w:customStyle="1" w:styleId="13">
    <w:name w:val="news_meta"/>
    <w:basedOn w:val="5"/>
    <w:uiPriority w:val="0"/>
  </w:style>
  <w:style w:type="character" w:customStyle="1" w:styleId="14">
    <w:name w:val="split"/>
    <w:basedOn w:val="5"/>
    <w:uiPriority w:val="0"/>
    <w:rPr>
      <w:b/>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2016-01-04T06:16:00Z</dcterms:created>
  <dc:creator>dell</dc:creator>
  <cp:lastModifiedBy>dell</cp:lastModifiedBy>
  <dcterms:modified xsi:type="dcterms:W3CDTF">2016-01-04T06:21:30Z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